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600"/>
        <w:jc w:val="center"/>
        <w:rPr>
          <w:rFonts w:hint="eastAsia" w:ascii="宋体" w:hAnsi="宋体" w:eastAsia="宋体"/>
          <w:b w:val="0"/>
          <w:bCs w:val="0"/>
        </w:rPr>
      </w:pPr>
      <w:bookmarkStart w:id="3" w:name="_GoBack"/>
      <w:bookmarkEnd w:id="3"/>
      <w:bookmarkStart w:id="0" w:name="_Toc432670427"/>
      <w:bookmarkStart w:id="1" w:name="_Toc192709051"/>
      <w:bookmarkStart w:id="2" w:name="_Toc441763635"/>
      <w:r>
        <w:rPr>
          <w:rFonts w:hint="eastAsia" w:ascii="宋体" w:hAnsi="宋体" w:eastAsia="宋体"/>
          <w:b w:val="0"/>
          <w:bCs w:val="0"/>
        </w:rPr>
        <w:t xml:space="preserve">  </w:t>
      </w:r>
      <w:bookmarkEnd w:id="0"/>
      <w:r>
        <w:rPr>
          <w:rFonts w:hint="eastAsia" w:ascii="宋体" w:hAnsi="宋体" w:eastAsia="宋体"/>
          <w:b w:val="0"/>
          <w:bCs w:val="0"/>
        </w:rPr>
        <w:t>成交人公告内容</w:t>
      </w:r>
      <w:bookmarkEnd w:id="1"/>
      <w:bookmarkEnd w:id="2"/>
    </w:p>
    <w:p>
      <w:pPr>
        <w:spacing w:line="360" w:lineRule="auto"/>
        <w:rPr>
          <w:rFonts w:hint="eastAsia" w:ascii="宋体" w:hAnsi="宋体"/>
          <w:spacing w:val="20"/>
          <w:sz w:val="24"/>
        </w:rPr>
      </w:pPr>
      <w:r>
        <w:rPr>
          <w:rFonts w:hint="eastAsia" w:ascii="宋体" w:hAnsi="宋体"/>
          <w:spacing w:val="20"/>
          <w:sz w:val="24"/>
        </w:rPr>
        <w:t xml:space="preserve">采购项目： </w:t>
      </w:r>
      <w:r>
        <w:rPr>
          <w:rFonts w:hint="eastAsia" w:ascii="宋体" w:hAnsi="宋体"/>
          <w:sz w:val="24"/>
        </w:rPr>
        <w:t xml:space="preserve">丽水学院非学历教育合作商采购项目 </w:t>
      </w:r>
    </w:p>
    <w:p>
      <w:pPr>
        <w:spacing w:line="360" w:lineRule="auto"/>
        <w:rPr>
          <w:rFonts w:hint="eastAsia" w:ascii="宋体" w:hAnsi="宋体" w:eastAsia="宋体"/>
          <w:spacing w:val="20"/>
          <w:sz w:val="24"/>
          <w:lang w:val="en-US" w:eastAsia="zh-CN"/>
        </w:rPr>
      </w:pPr>
      <w:r>
        <w:rPr>
          <w:rFonts w:hint="eastAsia" w:ascii="宋体" w:hAnsi="宋体"/>
          <w:spacing w:val="20"/>
          <w:sz w:val="24"/>
        </w:rPr>
        <w:t>采购编号</w:t>
      </w:r>
      <w:r>
        <w:rPr>
          <w:rFonts w:hint="eastAsia" w:ascii="宋体" w:hAnsi="宋体"/>
          <w:sz w:val="24"/>
          <w:szCs w:val="28"/>
        </w:rPr>
        <w:t>：</w:t>
      </w:r>
      <w:r>
        <w:rPr>
          <w:rFonts w:hint="eastAsia" w:ascii="宋体" w:hAnsi="宋体"/>
          <w:sz w:val="24"/>
          <w:szCs w:val="28"/>
          <w:lang w:val="en-US" w:eastAsia="zh-CN"/>
        </w:rPr>
        <w:t xml:space="preserve">  </w:t>
      </w:r>
      <w:r>
        <w:rPr>
          <w:rFonts w:hint="eastAsia" w:ascii="宋体" w:hAnsi="宋体"/>
          <w:sz w:val="24"/>
        </w:rPr>
        <w:t>浙建航磋商2025050号</w:t>
      </w:r>
      <w:r>
        <w:rPr>
          <w:rFonts w:hint="eastAsia" w:ascii="宋体" w:hAnsi="宋体"/>
          <w:sz w:val="24"/>
          <w:szCs w:val="28"/>
        </w:rPr>
        <w:t xml:space="preserve">                </w:t>
      </w:r>
      <w:r>
        <w:rPr>
          <w:rFonts w:hint="eastAsia" w:ascii="宋体" w:hAnsi="宋体"/>
          <w:sz w:val="24"/>
          <w:szCs w:val="28"/>
          <w:lang w:val="en-US" w:eastAsia="zh-CN"/>
        </w:rPr>
        <w:t xml:space="preserve"> </w:t>
      </w:r>
      <w:r>
        <w:rPr>
          <w:rFonts w:hint="eastAsia" w:ascii="宋体" w:hAnsi="宋体"/>
          <w:sz w:val="24"/>
          <w:szCs w:val="28"/>
        </w:rPr>
        <w:t xml:space="preserve"> 标项：</w:t>
      </w:r>
      <w:r>
        <w:rPr>
          <w:rFonts w:hint="eastAsia" w:ascii="宋体" w:hAnsi="宋体"/>
          <w:sz w:val="24"/>
          <w:szCs w:val="28"/>
          <w:lang w:val="en-US" w:eastAsia="zh-CN"/>
        </w:rPr>
        <w:t>三</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0"/>
        <w:gridCol w:w="2310"/>
        <w:gridCol w:w="24"/>
        <w:gridCol w:w="2287"/>
        <w:gridCol w:w="2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pacing w:val="20"/>
                <w:sz w:val="24"/>
              </w:rPr>
            </w:pPr>
            <w:r>
              <w:rPr>
                <w:rFonts w:hint="eastAsia" w:ascii="宋体" w:hAnsi="宋体"/>
                <w:spacing w:val="20"/>
                <w:sz w:val="24"/>
              </w:rPr>
              <w:t>成交人名称</w:t>
            </w:r>
          </w:p>
        </w:tc>
        <w:tc>
          <w:tcPr>
            <w:tcW w:w="231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eastAsia="宋体"/>
                <w:spacing w:val="20"/>
                <w:sz w:val="24"/>
                <w:lang w:val="en-US" w:eastAsia="zh-CN"/>
              </w:rPr>
            </w:pPr>
            <w:r>
              <w:rPr>
                <w:rFonts w:hint="eastAsia" w:ascii="宋体" w:hAnsi="宋体"/>
                <w:spacing w:val="20"/>
                <w:sz w:val="24"/>
                <w:lang w:val="en-US" w:eastAsia="zh-CN"/>
              </w:rPr>
              <w:t>杭州文亮思睿教育科技集团有限公司</w:t>
            </w:r>
          </w:p>
        </w:tc>
        <w:tc>
          <w:tcPr>
            <w:tcW w:w="2311"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pacing w:val="20"/>
                <w:sz w:val="24"/>
              </w:rPr>
            </w:pPr>
            <w:r>
              <w:rPr>
                <w:rFonts w:hint="eastAsia" w:ascii="宋体" w:hAnsi="宋体"/>
                <w:spacing w:val="20"/>
                <w:sz w:val="24"/>
              </w:rPr>
              <w:t>成交人负责人</w:t>
            </w:r>
          </w:p>
        </w:tc>
        <w:tc>
          <w:tcPr>
            <w:tcW w:w="231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eastAsia="宋体"/>
                <w:spacing w:val="20"/>
                <w:sz w:val="24"/>
                <w:lang w:val="en-US" w:eastAsia="zh-CN"/>
              </w:rPr>
            </w:pPr>
            <w:r>
              <w:rPr>
                <w:rFonts w:hint="eastAsia" w:ascii="宋体" w:hAnsi="宋体"/>
                <w:spacing w:val="20"/>
                <w:sz w:val="24"/>
                <w:lang w:val="en-US" w:eastAsia="zh-CN"/>
              </w:rPr>
              <w:t>朱俊隆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pacing w:val="20"/>
                <w:sz w:val="24"/>
              </w:rPr>
            </w:pPr>
            <w:r>
              <w:rPr>
                <w:rFonts w:hint="eastAsia" w:ascii="宋体" w:hAnsi="宋体"/>
                <w:spacing w:val="20"/>
                <w:sz w:val="24"/>
              </w:rPr>
              <w:t>成交人地址</w:t>
            </w:r>
          </w:p>
        </w:tc>
        <w:tc>
          <w:tcPr>
            <w:tcW w:w="6932" w:type="dxa"/>
            <w:gridSpan w:val="4"/>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pacing w:val="20"/>
                <w:sz w:val="24"/>
              </w:rPr>
            </w:pPr>
            <w:r>
              <w:rPr>
                <w:rFonts w:hint="eastAsia" w:ascii="宋体" w:hAnsi="宋体"/>
                <w:spacing w:val="20"/>
                <w:sz w:val="24"/>
              </w:rPr>
              <w:t>浙江省杭州市钱塘区义蓬街道青六中路888号义篷科创园1066室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2" w:type="dxa"/>
            <w:gridSpan w:val="5"/>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pacing w:val="20"/>
                <w:sz w:val="24"/>
              </w:rPr>
            </w:pPr>
            <w:r>
              <w:rPr>
                <w:rFonts w:hint="eastAsia" w:ascii="宋体" w:hAnsi="宋体"/>
                <w:spacing w:val="20"/>
                <w:sz w:val="24"/>
              </w:rPr>
              <w:t xml:space="preserve"> 成交标的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pacing w:val="20"/>
                <w:sz w:val="24"/>
              </w:rPr>
            </w:pPr>
            <w:r>
              <w:rPr>
                <w:rFonts w:hint="eastAsia" w:ascii="宋体" w:hAnsi="宋体"/>
                <w:spacing w:val="20"/>
                <w:sz w:val="24"/>
              </w:rPr>
              <w:t>服务</w:t>
            </w:r>
            <w:r>
              <w:rPr>
                <w:rFonts w:ascii="宋体" w:hAnsi="宋体"/>
                <w:spacing w:val="20"/>
                <w:sz w:val="24"/>
              </w:rPr>
              <w:t>内容</w:t>
            </w:r>
          </w:p>
        </w:tc>
        <w:tc>
          <w:tcPr>
            <w:tcW w:w="233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pacing w:val="20"/>
                <w:sz w:val="24"/>
              </w:rPr>
            </w:pPr>
            <w:r>
              <w:rPr>
                <w:rFonts w:hint="eastAsia" w:ascii="宋体" w:hAnsi="宋体"/>
                <w:spacing w:val="20"/>
                <w:sz w:val="24"/>
              </w:rPr>
              <w:t>单位</w:t>
            </w:r>
          </w:p>
        </w:tc>
        <w:tc>
          <w:tcPr>
            <w:tcW w:w="228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pacing w:val="20"/>
                <w:sz w:val="24"/>
              </w:rPr>
            </w:pPr>
            <w:r>
              <w:rPr>
                <w:rFonts w:hint="eastAsia" w:ascii="宋体" w:hAnsi="宋体"/>
                <w:spacing w:val="20"/>
                <w:sz w:val="24"/>
              </w:rPr>
              <w:t>数量</w:t>
            </w:r>
          </w:p>
        </w:tc>
        <w:tc>
          <w:tcPr>
            <w:tcW w:w="231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pacing w:val="20"/>
                <w:sz w:val="24"/>
              </w:rPr>
            </w:pPr>
            <w:r>
              <w:rPr>
                <w:rFonts w:hint="eastAsia" w:ascii="宋体" w:hAnsi="宋体"/>
                <w:spacing w:val="20"/>
                <w:sz w:val="24"/>
              </w:rPr>
              <w:t>结算比例（%）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eastAsia="宋体"/>
                <w:spacing w:val="20"/>
                <w:sz w:val="24"/>
                <w:lang w:val="en-US" w:eastAsia="zh-CN"/>
              </w:rPr>
            </w:pPr>
            <w:r>
              <w:rPr>
                <w:rFonts w:hint="eastAsia" w:ascii="宋体" w:hAnsi="宋体"/>
                <w:spacing w:val="20"/>
                <w:sz w:val="24"/>
                <w:lang w:val="en-US" w:eastAsia="zh-CN"/>
              </w:rPr>
              <w:t>全日制专升本考前培训</w:t>
            </w:r>
          </w:p>
        </w:tc>
        <w:tc>
          <w:tcPr>
            <w:tcW w:w="233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pacing w:val="20"/>
                <w:sz w:val="24"/>
              </w:rPr>
            </w:pPr>
            <w:r>
              <w:rPr>
                <w:rFonts w:hint="eastAsia" w:ascii="宋体" w:hAnsi="宋体"/>
                <w:spacing w:val="20"/>
                <w:sz w:val="24"/>
                <w:lang w:val="en-US" w:eastAsia="zh-CN"/>
              </w:rPr>
              <w:t>杭州文亮思睿教育科技集团有限公司</w:t>
            </w:r>
          </w:p>
        </w:tc>
        <w:tc>
          <w:tcPr>
            <w:tcW w:w="228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spacing w:val="20"/>
                <w:sz w:val="24"/>
                <w:lang w:val="en-US" w:eastAsia="zh-CN"/>
              </w:rPr>
            </w:pPr>
            <w:r>
              <w:rPr>
                <w:rFonts w:hint="eastAsia" w:ascii="宋体" w:hAnsi="宋体"/>
                <w:spacing w:val="20"/>
                <w:sz w:val="24"/>
                <w:lang w:val="en-US" w:eastAsia="zh-CN"/>
              </w:rPr>
              <w:t>1</w:t>
            </w:r>
          </w:p>
        </w:tc>
        <w:tc>
          <w:tcPr>
            <w:tcW w:w="231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eastAsia="宋体"/>
                <w:spacing w:val="20"/>
                <w:sz w:val="24"/>
                <w:lang w:val="en-US" w:eastAsia="zh-CN"/>
              </w:rPr>
            </w:pPr>
            <w:r>
              <w:rPr>
                <w:rFonts w:hint="eastAsia" w:ascii="宋体" w:hAnsi="宋体"/>
                <w:spacing w:val="20"/>
                <w:sz w:val="24"/>
                <w:lang w:val="en-US" w:eastAsia="zh-CN"/>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spacing w:val="20"/>
                <w:sz w:val="24"/>
              </w:rPr>
            </w:pPr>
          </w:p>
        </w:tc>
        <w:tc>
          <w:tcPr>
            <w:tcW w:w="2334"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spacing w:val="20"/>
                <w:sz w:val="24"/>
              </w:rPr>
            </w:pPr>
          </w:p>
        </w:tc>
        <w:tc>
          <w:tcPr>
            <w:tcW w:w="228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spacing w:val="20"/>
                <w:sz w:val="24"/>
              </w:rPr>
            </w:pPr>
          </w:p>
        </w:tc>
        <w:tc>
          <w:tcPr>
            <w:tcW w:w="231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spacing w:val="20"/>
                <w:sz w:val="24"/>
              </w:rPr>
            </w:pPr>
          </w:p>
        </w:tc>
        <w:tc>
          <w:tcPr>
            <w:tcW w:w="2334"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spacing w:val="20"/>
                <w:sz w:val="24"/>
              </w:rPr>
            </w:pPr>
          </w:p>
        </w:tc>
        <w:tc>
          <w:tcPr>
            <w:tcW w:w="228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spacing w:val="20"/>
                <w:sz w:val="24"/>
              </w:rPr>
            </w:pPr>
          </w:p>
        </w:tc>
        <w:tc>
          <w:tcPr>
            <w:tcW w:w="231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spacing w:val="20"/>
                <w:sz w:val="24"/>
              </w:rPr>
            </w:pPr>
          </w:p>
        </w:tc>
        <w:tc>
          <w:tcPr>
            <w:tcW w:w="2334"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spacing w:val="20"/>
                <w:sz w:val="24"/>
              </w:rPr>
            </w:pPr>
          </w:p>
        </w:tc>
        <w:tc>
          <w:tcPr>
            <w:tcW w:w="228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spacing w:val="20"/>
                <w:sz w:val="24"/>
              </w:rPr>
            </w:pPr>
          </w:p>
        </w:tc>
        <w:tc>
          <w:tcPr>
            <w:tcW w:w="231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spacing w:val="20"/>
                <w:sz w:val="24"/>
              </w:rPr>
            </w:pPr>
          </w:p>
        </w:tc>
        <w:tc>
          <w:tcPr>
            <w:tcW w:w="2334"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spacing w:val="20"/>
                <w:sz w:val="24"/>
              </w:rPr>
            </w:pPr>
          </w:p>
        </w:tc>
        <w:tc>
          <w:tcPr>
            <w:tcW w:w="228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spacing w:val="20"/>
                <w:sz w:val="24"/>
              </w:rPr>
            </w:pPr>
          </w:p>
        </w:tc>
        <w:tc>
          <w:tcPr>
            <w:tcW w:w="231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spacing w:val="20"/>
                <w:sz w:val="24"/>
              </w:rPr>
            </w:pPr>
          </w:p>
        </w:tc>
        <w:tc>
          <w:tcPr>
            <w:tcW w:w="2334"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spacing w:val="20"/>
                <w:sz w:val="24"/>
              </w:rPr>
            </w:pPr>
          </w:p>
        </w:tc>
        <w:tc>
          <w:tcPr>
            <w:tcW w:w="228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spacing w:val="20"/>
                <w:sz w:val="24"/>
              </w:rPr>
            </w:pPr>
          </w:p>
        </w:tc>
        <w:tc>
          <w:tcPr>
            <w:tcW w:w="2311"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ascii="宋体" w:hAnsi="宋体"/>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7" w:hRule="atLeast"/>
        </w:trPr>
        <w:tc>
          <w:tcPr>
            <w:tcW w:w="9242" w:type="dxa"/>
            <w:gridSpan w:val="5"/>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spacing w:val="20"/>
                <w:sz w:val="24"/>
              </w:rPr>
            </w:pPr>
            <w:r>
              <w:rPr>
                <w:rFonts w:hint="eastAsia" w:ascii="宋体" w:hAnsi="宋体"/>
                <w:spacing w:val="20"/>
                <w:sz w:val="24"/>
              </w:rPr>
              <w:t>服务承诺：</w:t>
            </w:r>
          </w:p>
          <w:p>
            <w:pPr>
              <w:spacing w:line="360" w:lineRule="auto"/>
              <w:rPr>
                <w:rFonts w:hint="default" w:ascii="宋体" w:hAnsi="宋体" w:eastAsia="宋体"/>
                <w:spacing w:val="20"/>
                <w:sz w:val="24"/>
                <w:lang w:val="en-US" w:eastAsia="zh-CN"/>
              </w:rPr>
            </w:pPr>
            <w:r>
              <w:rPr>
                <w:rFonts w:hint="eastAsia" w:ascii="宋体" w:hAnsi="宋体"/>
                <w:spacing w:val="20"/>
                <w:sz w:val="24"/>
                <w:lang w:val="en-US" w:eastAsia="zh-CN"/>
              </w:rPr>
              <w:t>按照响应文件内容，保质保量完成全日制专升本考前培训。</w:t>
            </w:r>
          </w:p>
          <w:p>
            <w:pPr>
              <w:spacing w:line="360" w:lineRule="auto"/>
              <w:rPr>
                <w:rFonts w:ascii="宋体" w:hAnsi="宋体"/>
                <w:spacing w:val="20"/>
                <w:sz w:val="24"/>
              </w:rPr>
            </w:pPr>
          </w:p>
        </w:tc>
      </w:tr>
    </w:tbl>
    <w:p>
      <w:pPr>
        <w:rPr>
          <w:rFonts w:hint="eastAsia" w:ascii="宋体" w:hAnsi="宋体"/>
          <w:spacing w:val="20"/>
          <w:szCs w:val="21"/>
        </w:rPr>
      </w:pPr>
      <w:r>
        <w:rPr>
          <w:rFonts w:hint="eastAsia" w:ascii="宋体" w:hAnsi="宋体"/>
          <w:spacing w:val="20"/>
          <w:szCs w:val="21"/>
        </w:rPr>
        <w:t>注：1、供应商应根据其响应情况填写该表，并保证其与响应文件内容的一致性、正确性和真实性；</w:t>
      </w:r>
    </w:p>
    <w:p>
      <w:pPr>
        <w:ind w:firstLine="490" w:firstLineChars="196"/>
        <w:rPr>
          <w:rFonts w:hint="eastAsia" w:ascii="宋体" w:hAnsi="宋体"/>
          <w:spacing w:val="20"/>
          <w:szCs w:val="21"/>
        </w:rPr>
      </w:pPr>
      <w:r>
        <w:rPr>
          <w:rFonts w:hint="eastAsia" w:ascii="宋体" w:hAnsi="宋体"/>
          <w:spacing w:val="20"/>
          <w:szCs w:val="21"/>
        </w:rPr>
        <w:t>2、填写该表不代表供应商已具有成交人资格。本表只作为成交结果公告内容的一部分，进行公告使用；</w:t>
      </w:r>
    </w:p>
    <w:p>
      <w:pPr>
        <w:ind w:firstLine="490" w:firstLineChars="196"/>
        <w:rPr>
          <w:rFonts w:hint="eastAsia" w:ascii="宋体" w:hAnsi="宋体"/>
          <w:spacing w:val="20"/>
          <w:szCs w:val="21"/>
        </w:rPr>
      </w:pPr>
      <w:r>
        <w:rPr>
          <w:rFonts w:hint="eastAsia" w:ascii="宋体" w:hAnsi="宋体"/>
          <w:spacing w:val="20"/>
          <w:szCs w:val="21"/>
        </w:rPr>
        <w:t>3、本表内容涉及较多，供应商可以适当增减表格行数，以保证表格内容的完整；</w:t>
      </w:r>
    </w:p>
    <w:p>
      <w:pPr>
        <w:ind w:firstLine="490" w:firstLineChars="196"/>
        <w:rPr>
          <w:rFonts w:hint="eastAsia" w:ascii="宋体" w:hAnsi="宋体"/>
          <w:spacing w:val="20"/>
          <w:szCs w:val="21"/>
        </w:rPr>
      </w:pPr>
      <w:r>
        <w:rPr>
          <w:rFonts w:hint="eastAsia" w:ascii="宋体" w:hAnsi="宋体"/>
          <w:spacing w:val="20"/>
          <w:szCs w:val="21"/>
        </w:rPr>
        <w:t>4、评审结果排名第一的供应商在评审结束后</w:t>
      </w:r>
      <w:r>
        <w:rPr>
          <w:rFonts w:hint="eastAsia" w:ascii="宋体" w:hAnsi="宋体"/>
          <w:b/>
          <w:spacing w:val="20"/>
          <w:szCs w:val="21"/>
        </w:rPr>
        <w:t>2个工作日内</w:t>
      </w:r>
      <w:r>
        <w:rPr>
          <w:rFonts w:hint="eastAsia" w:ascii="宋体" w:hAnsi="宋体"/>
          <w:spacing w:val="20"/>
          <w:szCs w:val="21"/>
        </w:rPr>
        <w:t>将该表格提交给代理机构的项目负责人。未按时提交规定内容造成后果由供应商自行承担。</w:t>
      </w:r>
    </w:p>
    <w:p>
      <w:pPr>
        <w:ind w:firstLine="490" w:firstLineChars="196"/>
        <w:rPr>
          <w:rFonts w:hint="eastAsia" w:ascii="宋体" w:hAnsi="宋体"/>
          <w:spacing w:val="20"/>
          <w:szCs w:val="21"/>
        </w:rPr>
      </w:pPr>
      <w:r>
        <w:rPr>
          <w:rFonts w:hint="eastAsia" w:ascii="宋体" w:hAnsi="宋体"/>
          <w:spacing w:val="20"/>
          <w:szCs w:val="21"/>
        </w:rPr>
        <w:t>5、成交结果公告内容如涉及供应商的商业秘密等法律法规规定可以不予公告的情形，供应商应另附书面说明，如未事前书面说明造成的后果由供应商自行承担。</w:t>
      </w:r>
    </w:p>
    <w:p/>
    <w:sectPr>
      <w:pgSz w:w="11906" w:h="16838"/>
      <w:pgMar w:top="986"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yNmVjM2Y2ZTViNmU2OTlmZDVjOWI5ZmM4ZGJlMmIifQ=="/>
    <w:docVar w:name="KSO_WPS_MARK_KEY" w:val="c757032c-d3aa-4501-a102-e1563b9c2353"/>
  </w:docVars>
  <w:rsids>
    <w:rsidRoot w:val="1572087C"/>
    <w:rsid w:val="15720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3"/>
    <w:qFormat/>
    <w:uiPriority w:val="0"/>
    <w:pPr>
      <w:keepNext/>
      <w:keepLines/>
      <w:spacing w:before="260" w:after="260" w:line="360" w:lineRule="auto"/>
      <w:ind w:firstLine="602" w:firstLineChars="200"/>
      <w:outlineLvl w:val="2"/>
    </w:pPr>
    <w:rPr>
      <w:rFonts w:ascii="仿宋_GB2312" w:eastAsia="仿宋_GB2312"/>
      <w:b/>
      <w:bCs/>
      <w:sz w:val="30"/>
      <w:szCs w:val="20"/>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447</Words>
  <Characters>460</Characters>
  <Lines>0</Lines>
  <Paragraphs>0</Paragraphs>
  <TotalTime>5</TotalTime>
  <ScaleCrop>false</ScaleCrop>
  <LinksUpToDate>false</LinksUpToDate>
  <CharactersWithSpaces>485</CharactersWithSpaces>
  <Application>WPS Office_11.1.0.15320_F1E327BC-269C-435d-A152-05C5408002CA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2025-03-28T01:29:00Z</dcterms:created>
  <dc:creator>飞天的猪猪</dc:creator>
  <cp:lastModifiedBy>飞天的猪猪</cp:lastModifiedBy>
  <dcterms:modified xsi:type="dcterms:W3CDTF">2025-03-28T01:37:02Z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2052-11.1.0.15320</vt:lpwstr>
  </property>
  <property fmtid="{D5CDD505-2E9C-101B-9397-08002B2CF9AE}" pid="3" name="ICV">
    <vt:lpwstr>6C3313B002124445830CA366C621F55C_11</vt:lpwstr>
  </property>
</Properties>
</file>